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D4605B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984B93" w:rsidRPr="00984B93">
        <w:rPr>
          <w:bCs/>
          <w:noProof w:val="0"/>
          <w:sz w:val="24"/>
          <w:szCs w:val="24"/>
        </w:rPr>
        <w:t>R2-1817461</w:t>
      </w:r>
    </w:p>
    <w:p w14:paraId="231362B2" w14:textId="318A6B80"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293815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2ED9">
        <w:rPr>
          <w:rFonts w:cs="Arial"/>
          <w:b/>
          <w:bCs/>
          <w:sz w:val="24"/>
        </w:rPr>
        <w:t>10.4.1.4.1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B4C4D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0885">
        <w:rPr>
          <w:rFonts w:ascii="Arial" w:hAnsi="Arial" w:cs="Arial"/>
          <w:b/>
          <w:bCs/>
          <w:sz w:val="24"/>
        </w:rPr>
        <w:t>Disabling IncMon with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8B3695B" w:rsidR="00CD4C7B" w:rsidRPr="006E13D1" w:rsidRDefault="007625CE" w:rsidP="00CD4C7B">
      <w:r>
        <w:t>LTE Rel-12 defined the WID on Increased Monitoring of Carriers (IncMon), wherein the UE could be assigned to monitor more inter-frequency/RAT carriers than the 3 required in Rel-8. However, for NR the IncMon was never discussed and it was decided at the end of NR SA work that IncMon for NR would not be supported. However, it was never made clear whether UE supports IncMon when EN-DC is configured, so we discuss how to handle IncMon with EN-DC in this contribution.</w:t>
      </w:r>
    </w:p>
    <w:p w14:paraId="127ACA6D" w14:textId="3A496C2D" w:rsidR="00CD4C7B" w:rsidRPr="006E13D1" w:rsidRDefault="00CD4C7B" w:rsidP="00CD4C7B">
      <w:pPr>
        <w:pStyle w:val="Heading1"/>
      </w:pPr>
      <w:r w:rsidRPr="006E13D1">
        <w:t>2</w:t>
      </w:r>
      <w:r w:rsidRPr="006E13D1">
        <w:tab/>
      </w:r>
      <w:r w:rsidR="007625CE">
        <w:t>IncMon and EN-DC</w:t>
      </w:r>
    </w:p>
    <w:p w14:paraId="1C925FEF" w14:textId="0F6B33BF" w:rsidR="007625CE" w:rsidRDefault="007625CE" w:rsidP="00CD4C7B">
      <w:r>
        <w:t>It was decided in RAN2#103 that IncMon for NR would not be supported in Rel-15:</w:t>
      </w:r>
    </w:p>
    <w:p w14:paraId="0082614B" w14:textId="77777777" w:rsidR="007625CE" w:rsidRDefault="00305FA3" w:rsidP="007625CE">
      <w:pPr>
        <w:pStyle w:val="Doc-title"/>
      </w:pPr>
      <w:hyperlink r:id="rId12" w:history="1">
        <w:r w:rsidR="007625CE">
          <w:rPr>
            <w:rStyle w:val="Hyperlink"/>
          </w:rPr>
          <w:t>R2-1812239</w:t>
        </w:r>
      </w:hyperlink>
      <w:r w:rsidR="007625CE">
        <w:tab/>
        <w:t>[E560, E559] UE capability for increased number of carrier monitoring</w:t>
      </w:r>
      <w:r w:rsidR="007625CE">
        <w:tab/>
        <w:t>Ericsson</w:t>
      </w:r>
      <w:r w:rsidR="007625CE">
        <w:tab/>
        <w:t>discussion</w:t>
      </w:r>
      <w:r w:rsidR="007625CE">
        <w:tab/>
        <w:t>Rel-15</w:t>
      </w:r>
      <w:r w:rsidR="007625CE">
        <w:tab/>
        <w:t>NR_newRAT-Core</w:t>
      </w:r>
    </w:p>
    <w:p w14:paraId="24DB3990" w14:textId="77777777" w:rsidR="007625CE" w:rsidRDefault="007625CE" w:rsidP="007625CE">
      <w:pPr>
        <w:pStyle w:val="Doc-text2"/>
      </w:pPr>
    </w:p>
    <w:p w14:paraId="093C0F73" w14:textId="77777777" w:rsidR="007625CE" w:rsidRDefault="007625CE" w:rsidP="007625CE">
      <w:pPr>
        <w:pStyle w:val="Doc-text2"/>
        <w:pBdr>
          <w:top w:val="single" w:sz="4" w:space="1" w:color="auto"/>
          <w:left w:val="single" w:sz="4" w:space="4" w:color="auto"/>
          <w:bottom w:val="single" w:sz="4" w:space="1" w:color="auto"/>
          <w:right w:val="single" w:sz="4" w:space="4" w:color="auto"/>
        </w:pBdr>
      </w:pPr>
      <w:r>
        <w:t>Agreements</w:t>
      </w:r>
    </w:p>
    <w:p w14:paraId="60296E5A" w14:textId="77777777" w:rsidR="007625CE" w:rsidRDefault="007625CE" w:rsidP="007625CE">
      <w:pPr>
        <w:pStyle w:val="Doc-text2"/>
        <w:pBdr>
          <w:top w:val="single" w:sz="4" w:space="1" w:color="auto"/>
          <w:left w:val="single" w:sz="4" w:space="4" w:color="auto"/>
          <w:bottom w:val="single" w:sz="4" w:space="1" w:color="auto"/>
          <w:right w:val="single" w:sz="4" w:space="4" w:color="auto"/>
        </w:pBdr>
      </w:pPr>
      <w:r>
        <w:t>1</w:t>
      </w:r>
      <w:r>
        <w:tab/>
      </w:r>
      <w:r w:rsidRPr="000D4C2F">
        <w:t xml:space="preserve">incMon, reducedMeasPerformance, and measScaleFactor </w:t>
      </w:r>
      <w:r>
        <w:t>are not supported in R15.</w:t>
      </w:r>
    </w:p>
    <w:p w14:paraId="638BB845" w14:textId="77777777" w:rsidR="007625CE" w:rsidRDefault="007625CE" w:rsidP="00CD4C7B"/>
    <w:p w14:paraId="113A314F" w14:textId="6767F1F0" w:rsidR="007625CE" w:rsidRDefault="007625CE" w:rsidP="00CD4C7B">
      <w:r>
        <w:t>The topic was also never agreed for EN-DC, which means that the reduced performance measurements cannot be configured for NR, even before EN-DC is configured. Therefore, it seems clear that IncMon does NOT work for any NR carriers in Rel-15.</w:t>
      </w:r>
    </w:p>
    <w:p w14:paraId="19B96F6A" w14:textId="6F252053" w:rsidR="007625CE" w:rsidRDefault="007625CE" w:rsidP="00CD4C7B">
      <w:r w:rsidRPr="007625CE">
        <w:rPr>
          <w:b/>
        </w:rPr>
        <w:t>Observation 1:</w:t>
      </w:r>
      <w:r>
        <w:t xml:space="preserve"> IncMon measurements cannot be used with NR carrier measurements in Rel-15.</w:t>
      </w:r>
    </w:p>
    <w:p w14:paraId="19AE7735" w14:textId="2A68ECEE" w:rsidR="007625CE" w:rsidRDefault="007625CE" w:rsidP="00CD4C7B">
      <w:r>
        <w:t xml:space="preserve">However, currently the </w:t>
      </w:r>
      <w:hyperlink r:id="rId13" w:history="1">
        <w:r w:rsidR="00250018" w:rsidRPr="00250018">
          <w:rPr>
            <w:rStyle w:val="Hyperlink"/>
          </w:rPr>
          <w:t>TS</w:t>
        </w:r>
        <w:r w:rsidRPr="00250018">
          <w:rPr>
            <w:rStyle w:val="Hyperlink"/>
          </w:rPr>
          <w:t>36.133</w:t>
        </w:r>
      </w:hyperlink>
      <w:r w:rsidR="002F04A6">
        <w:t xml:space="preserve"> indicate the following in sub-clause</w:t>
      </w:r>
      <w:r w:rsidR="00B75790" w:rsidRPr="00B75790">
        <w:t xml:space="preserve"> 8.1.2.1.1.1a</w:t>
      </w:r>
      <w:r w:rsidR="002F04A6">
        <w:t>:</w:t>
      </w:r>
    </w:p>
    <w:p w14:paraId="4AA53D1A" w14:textId="77777777" w:rsidR="00B75790" w:rsidRPr="00B75790" w:rsidRDefault="00B75790" w:rsidP="00B75790">
      <w:pPr>
        <w:overflowPunct w:val="0"/>
        <w:autoSpaceDE w:val="0"/>
        <w:autoSpaceDN w:val="0"/>
        <w:adjustRightInd w:val="0"/>
        <w:ind w:left="284"/>
        <w:rPr>
          <w:rFonts w:cs="v4.2.0"/>
          <w:i/>
          <w:lang w:eastAsia="ko-KR"/>
        </w:rPr>
      </w:pPr>
      <w:r w:rsidRPr="00B75790">
        <w:rPr>
          <w:i/>
          <w:lang w:eastAsia="ko-KR"/>
        </w:rPr>
        <w:t>The minimum performance requirements for a UE configured with inter-RAT NR layers are calculated assuming all E-UTRA carriers which the UE is required to monitor are having normal performance.</w:t>
      </w:r>
    </w:p>
    <w:p w14:paraId="2F3B201A" w14:textId="518C567C" w:rsidR="002F04A6" w:rsidRDefault="00B75790" w:rsidP="00CD4C7B">
      <w:r>
        <w:t xml:space="preserve">Further, for RRC_CONNECTED, </w:t>
      </w:r>
      <w:r w:rsidR="00A24519">
        <w:t xml:space="preserve">the sub-clause </w:t>
      </w:r>
      <w:r w:rsidR="00A24519" w:rsidRPr="00A24519">
        <w:t>8.1.2.1.1b.1</w:t>
      </w:r>
      <w:r w:rsidR="00A24519">
        <w:t xml:space="preserve"> of </w:t>
      </w:r>
      <w:hyperlink r:id="rId14" w:history="1">
        <w:r w:rsidR="00250018" w:rsidRPr="00250018">
          <w:rPr>
            <w:rStyle w:val="Hyperlink"/>
          </w:rPr>
          <w:t>TS36.133</w:t>
        </w:r>
      </w:hyperlink>
      <w:r w:rsidR="00250018">
        <w:t xml:space="preserve"> </w:t>
      </w:r>
      <w:r>
        <w:t>states the following:</w:t>
      </w:r>
    </w:p>
    <w:p w14:paraId="54E94285" w14:textId="77777777" w:rsidR="00A24519" w:rsidRPr="00A24519" w:rsidRDefault="00A24519" w:rsidP="00A24519">
      <w:pPr>
        <w:keepNext/>
        <w:keepLines/>
        <w:overflowPunct w:val="0"/>
        <w:autoSpaceDE w:val="0"/>
        <w:autoSpaceDN w:val="0"/>
        <w:adjustRightInd w:val="0"/>
        <w:spacing w:before="120"/>
        <w:ind w:left="2269" w:hanging="1985"/>
        <w:rPr>
          <w:rFonts w:ascii="Arial" w:eastAsia="SimSun" w:hAnsi="Arial"/>
          <w:i/>
          <w:lang w:eastAsia="ko-KR"/>
        </w:rPr>
      </w:pPr>
      <w:bookmarkStart w:id="0" w:name="_Hlk495652196"/>
      <w:r w:rsidRPr="00A24519">
        <w:rPr>
          <w:rFonts w:ascii="Arial" w:eastAsia="SimSun" w:hAnsi="Arial"/>
          <w:i/>
          <w:lang w:eastAsia="ko-KR"/>
        </w:rPr>
        <w:t>8.1.2.1.1b.1</w:t>
      </w:r>
      <w:r w:rsidRPr="00A24519">
        <w:rPr>
          <w:rFonts w:ascii="Arial" w:eastAsia="SimSun" w:hAnsi="Arial"/>
          <w:i/>
          <w:lang w:eastAsia="ko-KR"/>
        </w:rPr>
        <w:tab/>
        <w:t>Maximum allowed layers for multiple monitoring for UE in NSA operation</w:t>
      </w:r>
    </w:p>
    <w:p w14:paraId="13A9C501" w14:textId="77777777" w:rsidR="00A24519" w:rsidRPr="00A24519" w:rsidRDefault="00A24519" w:rsidP="00A24519">
      <w:pPr>
        <w:overflowPunct w:val="0"/>
        <w:autoSpaceDE w:val="0"/>
        <w:autoSpaceDN w:val="0"/>
        <w:adjustRightInd w:val="0"/>
        <w:ind w:left="284"/>
        <w:rPr>
          <w:i/>
          <w:lang w:eastAsia="ko-KR"/>
        </w:rPr>
      </w:pPr>
      <w:bookmarkStart w:id="1" w:name="_Hlk499830818"/>
      <w:bookmarkEnd w:id="0"/>
      <w:r w:rsidRPr="00A24519">
        <w:rPr>
          <w:i/>
          <w:lang w:eastAsia="ko-KR"/>
        </w:rPr>
        <w:t>The UE configured with NR PSCell shall be capable of monitoring at least per RAT group:</w:t>
      </w:r>
    </w:p>
    <w:p w14:paraId="72F78549" w14:textId="77777777" w:rsidR="00A24519" w:rsidRPr="00A24519" w:rsidRDefault="00A24519" w:rsidP="00A24519">
      <w:pPr>
        <w:overflowPunct w:val="0"/>
        <w:autoSpaceDE w:val="0"/>
        <w:autoSpaceDN w:val="0"/>
        <w:adjustRightInd w:val="0"/>
        <w:ind w:left="852" w:hanging="284"/>
        <w:rPr>
          <w:rFonts w:eastAsia="SimSun"/>
          <w:i/>
          <w:lang w:eastAsia="en-GB"/>
        </w:rPr>
      </w:pPr>
      <w:r w:rsidRPr="00A24519">
        <w:rPr>
          <w:rFonts w:eastAsia="SimSun"/>
          <w:i/>
          <w:lang w:eastAsia="en-GB"/>
        </w:rPr>
        <w:t>-</w:t>
      </w:r>
      <w:r w:rsidRPr="00A24519">
        <w:rPr>
          <w:rFonts w:eastAsia="SimSun"/>
          <w:i/>
          <w:lang w:eastAsia="en-GB"/>
        </w:rPr>
        <w:tab/>
        <w:t>Depending on UE capability, [6] FDD E-UTRA inter-frequency carriers configured by PCell, and</w:t>
      </w:r>
    </w:p>
    <w:p w14:paraId="1CC13E21" w14:textId="77777777" w:rsidR="00A24519" w:rsidRPr="00A24519" w:rsidRDefault="00A24519" w:rsidP="00A24519">
      <w:pPr>
        <w:overflowPunct w:val="0"/>
        <w:autoSpaceDE w:val="0"/>
        <w:autoSpaceDN w:val="0"/>
        <w:adjustRightInd w:val="0"/>
        <w:ind w:left="852" w:hanging="284"/>
        <w:rPr>
          <w:rFonts w:eastAsia="SimSun"/>
          <w:i/>
          <w:lang w:eastAsia="en-GB"/>
        </w:rPr>
      </w:pPr>
      <w:r w:rsidRPr="00A24519">
        <w:rPr>
          <w:rFonts w:eastAsia="SimSun"/>
          <w:i/>
          <w:lang w:eastAsia="en-GB"/>
        </w:rPr>
        <w:t>-</w:t>
      </w:r>
      <w:r w:rsidRPr="00A24519">
        <w:rPr>
          <w:rFonts w:eastAsia="SimSun"/>
          <w:i/>
          <w:lang w:eastAsia="en-GB"/>
        </w:rPr>
        <w:tab/>
        <w:t>Depending on UE capability, [6] TDD E-UTRA inter-frequency carriers configured by PCell, and</w:t>
      </w:r>
    </w:p>
    <w:p w14:paraId="3C792E29"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[7] NR inter-RAT carriers excluding NR serving carrier(s) configured by PCell, and</w:t>
      </w:r>
    </w:p>
    <w:p w14:paraId="0FECC140"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[7] NR inter-frequency carriers configured by NR PSCell [50].</w:t>
      </w:r>
    </w:p>
    <w:p w14:paraId="08BE6C60"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[3] FDD UTRA carriers, and</w:t>
      </w:r>
    </w:p>
    <w:p w14:paraId="0C50543A"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[3] TDD UTRA carriers, and</w:t>
      </w:r>
    </w:p>
    <w:p w14:paraId="00BBF523"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lastRenderedPageBreak/>
        <w:t>-</w:t>
      </w:r>
      <w:r w:rsidRPr="00A24519">
        <w:rPr>
          <w:i/>
          <w:lang w:eastAsia="en-GB"/>
        </w:rPr>
        <w:tab/>
        <w:t>Depending on UE capability, [32] GSM carriers (one GSM layer corresponds to 32 carriers), and</w:t>
      </w:r>
    </w:p>
    <w:p w14:paraId="45B7FECE"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1 FDD E-UTRA inter-frequency carrier for RSTD measurements configured via LPP [24], and</w:t>
      </w:r>
    </w:p>
    <w:p w14:paraId="3EB6FC6E" w14:textId="77777777" w:rsidR="00A24519" w:rsidRPr="00A24519" w:rsidRDefault="00A24519" w:rsidP="00A24519">
      <w:pPr>
        <w:overflowPunct w:val="0"/>
        <w:autoSpaceDE w:val="0"/>
        <w:autoSpaceDN w:val="0"/>
        <w:adjustRightInd w:val="0"/>
        <w:ind w:left="852" w:hanging="284"/>
        <w:rPr>
          <w:i/>
          <w:lang w:eastAsia="en-GB"/>
        </w:rPr>
      </w:pPr>
      <w:r w:rsidRPr="00A24519">
        <w:rPr>
          <w:i/>
          <w:lang w:eastAsia="en-GB"/>
        </w:rPr>
        <w:t>-</w:t>
      </w:r>
      <w:r w:rsidRPr="00A24519">
        <w:rPr>
          <w:i/>
          <w:lang w:eastAsia="en-GB"/>
        </w:rPr>
        <w:tab/>
        <w:t>Depending on UE capability, 1 TDD E-UTRA inter-frequency carrier for RSTD measurements configured via LPP [24].</w:t>
      </w:r>
    </w:p>
    <w:bookmarkEnd w:id="1"/>
    <w:p w14:paraId="0CFED3DE" w14:textId="77777777" w:rsidR="00A24519" w:rsidRPr="00A24519" w:rsidRDefault="00A24519" w:rsidP="00A24519">
      <w:pPr>
        <w:overflowPunct w:val="0"/>
        <w:autoSpaceDE w:val="0"/>
        <w:autoSpaceDN w:val="0"/>
        <w:adjustRightInd w:val="0"/>
        <w:ind w:left="284"/>
        <w:rPr>
          <w:i/>
          <w:iCs/>
          <w:lang w:eastAsia="ko-KR"/>
        </w:rPr>
      </w:pPr>
      <w:r w:rsidRPr="00A24519">
        <w:rPr>
          <w:i/>
          <w:iCs/>
          <w:lang w:eastAsia="ko-KR"/>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14:paraId="48A4A7D3" w14:textId="6FC7273C" w:rsidR="00A24519" w:rsidRPr="00A24519" w:rsidRDefault="00A24519" w:rsidP="00A24519">
      <w:pPr>
        <w:overflowPunct w:val="0"/>
        <w:autoSpaceDE w:val="0"/>
        <w:autoSpaceDN w:val="0"/>
        <w:adjustRightInd w:val="0"/>
        <w:ind w:left="284"/>
        <w:rPr>
          <w:i/>
          <w:lang w:eastAsia="en-GB"/>
        </w:rPr>
      </w:pPr>
      <w:r w:rsidRPr="00A24519">
        <w:rPr>
          <w:i/>
          <w:iCs/>
          <w:highlight w:val="yellow"/>
          <w:lang w:eastAsia="ko-KR"/>
        </w:rPr>
        <w:t>The UE shall be capable of monitoring a total of at least [7] effective NR carrier frequency layers excluding NR serving carrier(s), comprising of any above defined combination of NR inter-RAT carriers excluding NR serving</w:t>
      </w:r>
      <w:r w:rsidRPr="00A24519">
        <w:rPr>
          <w:i/>
          <w:iCs/>
          <w:lang w:eastAsia="ko-KR"/>
        </w:rPr>
        <w:t xml:space="preserve"> </w:t>
      </w:r>
    </w:p>
    <w:p w14:paraId="04F10254" w14:textId="0ADC0498" w:rsidR="00B75790" w:rsidRDefault="00A24519" w:rsidP="00CD4C7B">
      <w:r>
        <w:t xml:space="preserve">Hence, the UE monitoring capability during EN-DC seems already improved compared to LTE Rel-8 (note that while some of the requirements still utilize square brackets, i.e. are not finalized, they are not expected to change hugely). </w:t>
      </w:r>
    </w:p>
    <w:p w14:paraId="4497466E" w14:textId="39B0E9D6" w:rsidR="007625CE" w:rsidRDefault="00A24519" w:rsidP="00CD4C7B">
      <w:r w:rsidRPr="00A24519">
        <w:rPr>
          <w:b/>
        </w:rPr>
        <w:t>Observation 2:</w:t>
      </w:r>
      <w:r>
        <w:t xml:space="preserve"> UE inter-frequency/RAT monitoring capabilities during EN-DC are comparable to Rel-12 IncMon requirements.</w:t>
      </w:r>
    </w:p>
    <w:p w14:paraId="583A4BFB" w14:textId="6BC35359" w:rsidR="00A24519" w:rsidRDefault="00A24519" w:rsidP="00CD4C7B">
      <w:r>
        <w:t xml:space="preserve">Since the IncMon can be configured for UE before the EN-DC ios configured (just not for NR carrier according to reduced measurement performance), it is not clear what UE expects from network configuration when EN-DC is configured: Does IncMon for E-UTRA carriers still work, or is IncMon fully disabled? If disabled, is network expected to deconfigure the </w:t>
      </w:r>
      <w:r w:rsidRPr="00A24519">
        <w:rPr>
          <w:i/>
        </w:rPr>
        <w:t>measScaleFactor</w:t>
      </w:r>
      <w:r>
        <w:t xml:space="preserve"> and </w:t>
      </w:r>
      <w:r w:rsidRPr="00A24519">
        <w:rPr>
          <w:i/>
        </w:rPr>
        <w:t>reducedMeasPerformance</w:t>
      </w:r>
      <w:r>
        <w:t xml:space="preserve"> fields from measurement objects during EN-DC, or will the UE just ignore them? Will the UE consider a configuration with LTE IncMon (e.g. for LTE carriers only!) to be an invalid configuration when EN-DC is configured?</w:t>
      </w:r>
    </w:p>
    <w:p w14:paraId="6BDF016E" w14:textId="52A44533" w:rsidR="00A24519" w:rsidRDefault="00A24519" w:rsidP="00CD4C7B">
      <w:r w:rsidRPr="00A24519">
        <w:rPr>
          <w:b/>
        </w:rPr>
        <w:t>Observation 3:</w:t>
      </w:r>
      <w:r>
        <w:t xml:space="preserve"> It is not clear how LTE IncMon works with EN-DC since the measurement configuration can be utilized before EN-DC was configured, and the requirements for EN-DC are based on IncMon.</w:t>
      </w:r>
    </w:p>
    <w:p w14:paraId="70BC4BF5" w14:textId="4FD5A5E1" w:rsidR="00A24519" w:rsidRDefault="00A24519" w:rsidP="00CD4C7B">
      <w:r>
        <w:t xml:space="preserve">Since the LTE RRC makes no mention of these rules, our interpretation is that EN-DC does NOT affect the LTE IncMon in any way: </w:t>
      </w:r>
      <w:r w:rsidR="0099750C">
        <w:t xml:space="preserve">the LTE measurements can still continue to use the IncMon according to the requirements in TS36.133. Since currently there are no requirements as to the reduced measurement performance during IncMon, </w:t>
      </w:r>
      <w:r w:rsidR="00900EC1">
        <w:t xml:space="preserve">we see two possibilities: Either </w:t>
      </w:r>
      <w:r w:rsidR="0099750C">
        <w:t>UE will just ignore the IncMon parameters (if configured)</w:t>
      </w:r>
      <w:r w:rsidR="00900EC1">
        <w:t>, or the UE will ignore the measurements of the reduced performance groups entirely (i.e. does not measure those carriers at all)</w:t>
      </w:r>
      <w:r w:rsidR="0099750C">
        <w:t>.</w:t>
      </w:r>
      <w:r w:rsidR="00900EC1">
        <w:t xml:space="preserve"> Therefore, we would like to clarify which alternative is seen as the correct interpretation.</w:t>
      </w:r>
    </w:p>
    <w:p w14:paraId="528F11FE" w14:textId="77777777" w:rsidR="00900EC1" w:rsidRDefault="0099750C" w:rsidP="00CD4C7B">
      <w:bookmarkStart w:id="2" w:name="_Hlk528909208"/>
      <w:r w:rsidRPr="0099750C">
        <w:rPr>
          <w:b/>
        </w:rPr>
        <w:t>Proposal 1:</w:t>
      </w:r>
      <w:r>
        <w:t xml:space="preserve"> </w:t>
      </w:r>
      <w:r w:rsidR="00900EC1">
        <w:t>RAN2 to clarify which alternative of the following is correct interpretation of reduced performance group measurements when configured with EN-DC:</w:t>
      </w:r>
    </w:p>
    <w:p w14:paraId="27DBEA2E" w14:textId="3AF16FD4" w:rsidR="00984B93" w:rsidRDefault="00984B93" w:rsidP="00900EC1">
      <w:pPr>
        <w:pStyle w:val="ListParagraph"/>
        <w:numPr>
          <w:ilvl w:val="0"/>
          <w:numId w:val="5"/>
        </w:numPr>
      </w:pPr>
      <w:r>
        <w:t xml:space="preserve">UE shall ignore </w:t>
      </w:r>
      <w:r w:rsidR="0099750C">
        <w:t xml:space="preserve">the fields </w:t>
      </w:r>
      <w:r w:rsidR="0099750C" w:rsidRPr="00900EC1">
        <w:rPr>
          <w:i/>
        </w:rPr>
        <w:t>measScaleFactor</w:t>
      </w:r>
      <w:r w:rsidR="0099750C">
        <w:t xml:space="preserve"> and </w:t>
      </w:r>
      <w:r w:rsidR="0099750C" w:rsidRPr="00900EC1">
        <w:rPr>
          <w:i/>
        </w:rPr>
        <w:t>reducedMeasPerformance</w:t>
      </w:r>
      <w:r w:rsidR="0099750C">
        <w:t xml:space="preserve"> </w:t>
      </w:r>
      <w:r>
        <w:t>(if configured) when configured with EN-DC</w:t>
      </w:r>
      <w:r w:rsidR="0099750C">
        <w:t xml:space="preserve">. </w:t>
      </w:r>
    </w:p>
    <w:p w14:paraId="5B5BE4BE" w14:textId="5FCC1D8E" w:rsidR="00900EC1" w:rsidRDefault="00900EC1" w:rsidP="00900EC1">
      <w:pPr>
        <w:pStyle w:val="ListParagraph"/>
        <w:numPr>
          <w:ilvl w:val="0"/>
          <w:numId w:val="5"/>
        </w:numPr>
      </w:pPr>
      <w:r>
        <w:t xml:space="preserve">UE shall not perform measurements of measurement objects configured with the reduced performance group when configured with EN-DC </w:t>
      </w:r>
    </w:p>
    <w:bookmarkEnd w:id="2"/>
    <w:p w14:paraId="00E0E340" w14:textId="65FB981F" w:rsidR="0099750C" w:rsidRDefault="00984B93" w:rsidP="00CD4C7B">
      <w:r w:rsidRPr="00984B93">
        <w:rPr>
          <w:b/>
        </w:rPr>
        <w:t>Proposal 2:</w:t>
      </w:r>
      <w:r>
        <w:t xml:space="preserve"> When EN-DC is released, UE continues using the fields </w:t>
      </w:r>
      <w:r w:rsidRPr="00911115">
        <w:rPr>
          <w:i/>
        </w:rPr>
        <w:t>measScaleFactor</w:t>
      </w:r>
      <w:r>
        <w:t xml:space="preserve"> and </w:t>
      </w:r>
      <w:r w:rsidRPr="00911115">
        <w:rPr>
          <w:i/>
        </w:rPr>
        <w:t>reducedMeasPerformance</w:t>
      </w:r>
      <w:r>
        <w:t xml:space="preserve"> (if configured) according to E-UTRAN rules.</w:t>
      </w:r>
    </w:p>
    <w:p w14:paraId="43A12B72" w14:textId="6AB2940C" w:rsidR="00CD4C7B" w:rsidRPr="006E13D1" w:rsidRDefault="007625CE" w:rsidP="00CD4C7B">
      <w:pPr>
        <w:pStyle w:val="Heading1"/>
      </w:pPr>
      <w:r>
        <w:t>3</w:t>
      </w:r>
      <w:r w:rsidR="00CD4C7B" w:rsidRPr="006E13D1">
        <w:tab/>
      </w:r>
      <w:r>
        <w:t>Conclusions</w:t>
      </w:r>
    </w:p>
    <w:p w14:paraId="7157AE2E" w14:textId="4A113ECF" w:rsidR="0099750C" w:rsidRDefault="0099750C" w:rsidP="00CD4C7B">
      <w:r>
        <w:t xml:space="preserve">We have discussed the IncMon operation with EN-DC and observed it is not clear how the LTE RRC configuration should be used. </w:t>
      </w:r>
    </w:p>
    <w:p w14:paraId="7780A07A" w14:textId="77777777" w:rsidR="0099750C" w:rsidRDefault="0099750C" w:rsidP="0099750C">
      <w:r w:rsidRPr="007625CE">
        <w:rPr>
          <w:b/>
        </w:rPr>
        <w:t>Observation 1:</w:t>
      </w:r>
      <w:r>
        <w:t xml:space="preserve"> IncMon measurements cannot be used with NR carrier measurements in Rel-15.</w:t>
      </w:r>
    </w:p>
    <w:p w14:paraId="1C996BD2" w14:textId="77777777" w:rsidR="0099750C" w:rsidRDefault="0099750C" w:rsidP="0099750C">
      <w:r w:rsidRPr="00A24519">
        <w:rPr>
          <w:b/>
        </w:rPr>
        <w:t>Observation 2:</w:t>
      </w:r>
      <w:r>
        <w:t xml:space="preserve"> UE inter-frequency/RAT monitoring capabilities during EN-DC are comparable to Rel-12 IncMon requirements.</w:t>
      </w:r>
    </w:p>
    <w:p w14:paraId="44CA28BC" w14:textId="12A3650B" w:rsidR="0099750C" w:rsidRDefault="0099750C" w:rsidP="0099750C">
      <w:r w:rsidRPr="00A24519">
        <w:rPr>
          <w:b/>
        </w:rPr>
        <w:t>Observation 3:</w:t>
      </w:r>
      <w:r>
        <w:t xml:space="preserve"> It is not clear how LTE IncMon works with EN-DC since the measurement configuration can be utilized before EN-DC was configured, and the requirements for EN-DC are based on IncMon.</w:t>
      </w:r>
    </w:p>
    <w:p w14:paraId="2168024F" w14:textId="427AD71B" w:rsidR="0099750C" w:rsidRDefault="0099750C" w:rsidP="0099750C">
      <w:r>
        <w:t>Therefore, we propose to clarify this in LTE RRC as per following</w:t>
      </w:r>
      <w:r w:rsidR="009D25B8">
        <w:t>:</w:t>
      </w:r>
    </w:p>
    <w:p w14:paraId="2F9FD72F" w14:textId="77777777" w:rsidR="00900EC1" w:rsidRDefault="00900EC1" w:rsidP="00900EC1">
      <w:r w:rsidRPr="0099750C">
        <w:rPr>
          <w:b/>
        </w:rPr>
        <w:lastRenderedPageBreak/>
        <w:t>Proposal 1:</w:t>
      </w:r>
      <w:r>
        <w:t xml:space="preserve"> RAN2 to clarify which alternative of the following is correct interpretation of reduced performance group measurements when configured with EN-DC:</w:t>
      </w:r>
    </w:p>
    <w:p w14:paraId="220EFD71" w14:textId="77777777" w:rsidR="00900EC1" w:rsidRDefault="00900EC1" w:rsidP="00900EC1">
      <w:pPr>
        <w:pStyle w:val="ListParagraph"/>
        <w:numPr>
          <w:ilvl w:val="0"/>
          <w:numId w:val="6"/>
        </w:numPr>
      </w:pPr>
      <w:r>
        <w:t xml:space="preserve">UE shall ignore the fields </w:t>
      </w:r>
      <w:r w:rsidRPr="00900EC1">
        <w:rPr>
          <w:i/>
        </w:rPr>
        <w:t>measScaleFactor</w:t>
      </w:r>
      <w:r>
        <w:t xml:space="preserve"> and </w:t>
      </w:r>
      <w:r w:rsidRPr="00900EC1">
        <w:rPr>
          <w:i/>
        </w:rPr>
        <w:t>reducedMeasPerformance</w:t>
      </w:r>
      <w:r>
        <w:t xml:space="preserve"> (if configured) when configured with EN-DC. </w:t>
      </w:r>
    </w:p>
    <w:p w14:paraId="341DA9F3" w14:textId="77777777" w:rsidR="00900EC1" w:rsidRDefault="00900EC1" w:rsidP="00900EC1">
      <w:pPr>
        <w:pStyle w:val="ListParagraph"/>
        <w:numPr>
          <w:ilvl w:val="0"/>
          <w:numId w:val="6"/>
        </w:numPr>
      </w:pPr>
      <w:r>
        <w:t xml:space="preserve">UE shall not perform measurements of measurement objects configured with the reduced performance group when configured with EN-DC </w:t>
      </w:r>
    </w:p>
    <w:p w14:paraId="00107680" w14:textId="4E3403B3" w:rsidR="00984B93" w:rsidRDefault="00984B93" w:rsidP="00984B93">
      <w:r w:rsidRPr="00984B93">
        <w:rPr>
          <w:b/>
        </w:rPr>
        <w:t>Proposal 2:</w:t>
      </w:r>
      <w:r>
        <w:t xml:space="preserve"> When EN-DC is released, UE continues using the fields </w:t>
      </w:r>
      <w:r w:rsidRPr="00911115">
        <w:rPr>
          <w:i/>
        </w:rPr>
        <w:t>measScaleFactor</w:t>
      </w:r>
      <w:r>
        <w:t xml:space="preserve"> and </w:t>
      </w:r>
      <w:r w:rsidRPr="00911115">
        <w:rPr>
          <w:i/>
        </w:rPr>
        <w:t>reducedMeasPerformance</w:t>
      </w:r>
      <w:r>
        <w:t xml:space="preserve"> (if configured) according to E-UTRAN rules.</w:t>
      </w:r>
    </w:p>
    <w:p w14:paraId="3C7EC571" w14:textId="2BF39E1C" w:rsidR="00250018" w:rsidRDefault="00250018" w:rsidP="00984B93">
      <w:r>
        <w:t xml:space="preserve">We have also provided a CR in </w:t>
      </w:r>
      <w:hyperlink r:id="rId15" w:history="1">
        <w:r w:rsidRPr="00984B93">
          <w:rPr>
            <w:rStyle w:val="Hyperlink"/>
          </w:rPr>
          <w:t>R2-1817693</w:t>
        </w:r>
      </w:hyperlink>
      <w:r>
        <w:t xml:space="preserve"> showing the changes needed based on </w:t>
      </w:r>
      <w:r w:rsidR="00900EC1">
        <w:t>alternative 1) in proposal 1</w:t>
      </w:r>
      <w:bookmarkStart w:id="3" w:name="_GoBack"/>
      <w:bookmarkEnd w:id="3"/>
      <w:r>
        <w:t>.</w:t>
      </w:r>
    </w:p>
    <w:sectPr w:rsidR="002500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9337" w14:textId="77777777" w:rsidR="00305FA3" w:rsidRDefault="00305FA3">
      <w:r>
        <w:separator/>
      </w:r>
    </w:p>
  </w:endnote>
  <w:endnote w:type="continuationSeparator" w:id="0">
    <w:p w14:paraId="03636A17" w14:textId="77777777" w:rsidR="00305FA3" w:rsidRDefault="0030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9D25B8" w:rsidRDefault="009D25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9D25B8" w:rsidRDefault="009D25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9D25B8" w:rsidRDefault="009D2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84512" w14:textId="77777777" w:rsidR="00305FA3" w:rsidRDefault="00305FA3">
      <w:r>
        <w:separator/>
      </w:r>
    </w:p>
  </w:footnote>
  <w:footnote w:type="continuationSeparator" w:id="0">
    <w:p w14:paraId="0B443A6B" w14:textId="77777777" w:rsidR="00305FA3" w:rsidRDefault="00305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9D25B8" w:rsidRDefault="009D2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9D25B8" w:rsidRDefault="009D2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9D25B8" w:rsidRDefault="009D2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C53C0"/>
    <w:multiLevelType w:val="hybridMultilevel"/>
    <w:tmpl w:val="53E60C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F0D6F0E"/>
    <w:multiLevelType w:val="hybridMultilevel"/>
    <w:tmpl w:val="53E60C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50018"/>
    <w:rsid w:val="002610D8"/>
    <w:rsid w:val="002747EC"/>
    <w:rsid w:val="002855BF"/>
    <w:rsid w:val="002F04A6"/>
    <w:rsid w:val="002F0D22"/>
    <w:rsid w:val="00305FA3"/>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E0885"/>
    <w:rsid w:val="00611566"/>
    <w:rsid w:val="00646D99"/>
    <w:rsid w:val="00656910"/>
    <w:rsid w:val="006C66D8"/>
    <w:rsid w:val="006D1E24"/>
    <w:rsid w:val="006E1417"/>
    <w:rsid w:val="006F6A2C"/>
    <w:rsid w:val="00710201"/>
    <w:rsid w:val="007342B5"/>
    <w:rsid w:val="00734A5B"/>
    <w:rsid w:val="00744E76"/>
    <w:rsid w:val="00757D40"/>
    <w:rsid w:val="007625CE"/>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2ED9"/>
    <w:rsid w:val="008F396F"/>
    <w:rsid w:val="00900EC1"/>
    <w:rsid w:val="0090271F"/>
    <w:rsid w:val="00902DB9"/>
    <w:rsid w:val="0090466A"/>
    <w:rsid w:val="00911115"/>
    <w:rsid w:val="00936071"/>
    <w:rsid w:val="00940212"/>
    <w:rsid w:val="00942EC2"/>
    <w:rsid w:val="00961B32"/>
    <w:rsid w:val="00970DB3"/>
    <w:rsid w:val="00974BB0"/>
    <w:rsid w:val="00984B93"/>
    <w:rsid w:val="0099750C"/>
    <w:rsid w:val="009A0AF3"/>
    <w:rsid w:val="009B07CD"/>
    <w:rsid w:val="009C19E9"/>
    <w:rsid w:val="009D25B8"/>
    <w:rsid w:val="009D74A6"/>
    <w:rsid w:val="009E7D05"/>
    <w:rsid w:val="00A10F02"/>
    <w:rsid w:val="00A204CA"/>
    <w:rsid w:val="00A24519"/>
    <w:rsid w:val="00A53724"/>
    <w:rsid w:val="00A82346"/>
    <w:rsid w:val="00A9671C"/>
    <w:rsid w:val="00AA1553"/>
    <w:rsid w:val="00B05962"/>
    <w:rsid w:val="00B15449"/>
    <w:rsid w:val="00B27303"/>
    <w:rsid w:val="00B47FD1"/>
    <w:rsid w:val="00B516BB"/>
    <w:rsid w:val="00B75790"/>
    <w:rsid w:val="00BA54B5"/>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0205"/>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7625C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625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5CE"/>
    <w:rPr>
      <w:rFonts w:ascii="Arial" w:eastAsia="MS Mincho" w:hAnsi="Arial"/>
      <w:szCs w:val="24"/>
    </w:rPr>
  </w:style>
  <w:style w:type="character" w:customStyle="1" w:styleId="Doc-titleChar">
    <w:name w:val="Doc-title Char"/>
    <w:link w:val="Doc-title"/>
    <w:rsid w:val="007625CE"/>
    <w:rPr>
      <w:rFonts w:ascii="Arial" w:eastAsia="MS Mincho" w:hAnsi="Arial"/>
      <w:noProof/>
      <w:szCs w:val="24"/>
    </w:rPr>
  </w:style>
  <w:style w:type="character" w:styleId="FollowedHyperlink">
    <w:name w:val="FollowedHyperlink"/>
    <w:basedOn w:val="DefaultParagraphFont"/>
    <w:rsid w:val="007625CE"/>
    <w:rPr>
      <w:color w:val="954F72" w:themeColor="followedHyperlink"/>
      <w:u w:val="single"/>
    </w:rPr>
  </w:style>
  <w:style w:type="character" w:styleId="UnresolvedMention">
    <w:name w:val="Unresolved Mention"/>
    <w:basedOn w:val="DefaultParagraphFont"/>
    <w:rsid w:val="00984B93"/>
    <w:rPr>
      <w:color w:val="808080"/>
      <w:shd w:val="clear" w:color="auto" w:fill="E6E6E6"/>
    </w:rPr>
  </w:style>
  <w:style w:type="paragraph" w:styleId="ListParagraph">
    <w:name w:val="List Paragraph"/>
    <w:basedOn w:val="Normal"/>
    <w:uiPriority w:val="34"/>
    <w:qFormat/>
    <w:rsid w:val="00900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48722">
      <w:bodyDiv w:val="1"/>
      <w:marLeft w:val="0"/>
      <w:marRight w:val="0"/>
      <w:marTop w:val="0"/>
      <w:marBottom w:val="0"/>
      <w:divBdr>
        <w:top w:val="none" w:sz="0" w:space="0" w:color="auto"/>
        <w:left w:val="none" w:sz="0" w:space="0" w:color="auto"/>
        <w:bottom w:val="none" w:sz="0" w:space="0" w:color="auto"/>
        <w:right w:val="none" w:sz="0" w:space="0" w:color="auto"/>
      </w:divBdr>
    </w:div>
    <w:div w:id="137646809">
      <w:bodyDiv w:val="1"/>
      <w:marLeft w:val="0"/>
      <w:marRight w:val="0"/>
      <w:marTop w:val="0"/>
      <w:marBottom w:val="0"/>
      <w:divBdr>
        <w:top w:val="none" w:sz="0" w:space="0" w:color="auto"/>
        <w:left w:val="none" w:sz="0" w:space="0" w:color="auto"/>
        <w:bottom w:val="none" w:sz="0" w:space="0" w:color="auto"/>
        <w:right w:val="none" w:sz="0" w:space="0" w:color="auto"/>
      </w:divBdr>
    </w:div>
    <w:div w:id="325328355">
      <w:bodyDiv w:val="1"/>
      <w:marLeft w:val="0"/>
      <w:marRight w:val="0"/>
      <w:marTop w:val="0"/>
      <w:marBottom w:val="0"/>
      <w:divBdr>
        <w:top w:val="none" w:sz="0" w:space="0" w:color="auto"/>
        <w:left w:val="none" w:sz="0" w:space="0" w:color="auto"/>
        <w:bottom w:val="none" w:sz="0" w:space="0" w:color="auto"/>
        <w:right w:val="none" w:sz="0" w:space="0" w:color="auto"/>
      </w:divBdr>
    </w:div>
    <w:div w:id="615675385">
      <w:bodyDiv w:val="1"/>
      <w:marLeft w:val="0"/>
      <w:marRight w:val="0"/>
      <w:marTop w:val="0"/>
      <w:marBottom w:val="0"/>
      <w:divBdr>
        <w:top w:val="none" w:sz="0" w:space="0" w:color="auto"/>
        <w:left w:val="none" w:sz="0" w:space="0" w:color="auto"/>
        <w:bottom w:val="none" w:sz="0" w:space="0" w:color="auto"/>
        <w:right w:val="none" w:sz="0" w:space="0" w:color="auto"/>
      </w:divBdr>
    </w:div>
    <w:div w:id="6174952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6075645">
      <w:bodyDiv w:val="1"/>
      <w:marLeft w:val="0"/>
      <w:marRight w:val="0"/>
      <w:marTop w:val="0"/>
      <w:marBottom w:val="0"/>
      <w:divBdr>
        <w:top w:val="none" w:sz="0" w:space="0" w:color="auto"/>
        <w:left w:val="none" w:sz="0" w:space="0" w:color="auto"/>
        <w:bottom w:val="none" w:sz="0" w:space="0" w:color="auto"/>
        <w:right w:val="none" w:sz="0" w:space="0" w:color="auto"/>
      </w:divBdr>
    </w:div>
    <w:div w:id="1121614351">
      <w:bodyDiv w:val="1"/>
      <w:marLeft w:val="0"/>
      <w:marRight w:val="0"/>
      <w:marTop w:val="0"/>
      <w:marBottom w:val="0"/>
      <w:divBdr>
        <w:top w:val="none" w:sz="0" w:space="0" w:color="auto"/>
        <w:left w:val="none" w:sz="0" w:space="0" w:color="auto"/>
        <w:bottom w:val="none" w:sz="0" w:space="0" w:color="auto"/>
        <w:right w:val="none" w:sz="0" w:space="0" w:color="auto"/>
      </w:divBdr>
    </w:div>
    <w:div w:id="119303159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1161721">
      <w:bodyDiv w:val="1"/>
      <w:marLeft w:val="0"/>
      <w:marRight w:val="0"/>
      <w:marTop w:val="0"/>
      <w:marBottom w:val="0"/>
      <w:divBdr>
        <w:top w:val="none" w:sz="0" w:space="0" w:color="auto"/>
        <w:left w:val="none" w:sz="0" w:space="0" w:color="auto"/>
        <w:bottom w:val="none" w:sz="0" w:space="0" w:color="auto"/>
        <w:right w:val="none" w:sz="0" w:space="0" w:color="auto"/>
      </w:divBdr>
    </w:div>
    <w:div w:id="197113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DynaReport/36133.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ftp/tsg_ran/WG2_RL2/TSGR2_103/Docs/R2-181223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4/Docs/R2-1817693.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DynaReport/36133.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5AIRPNAIUNRU-859666464-4120</_dlc_DocId>
    <_dlc_DocIdUrl xmlns="71c5aaf6-e6ce-465b-b873-5148d2a4c105">
      <Url>https://nokia.sharepoint.com/sites/c5g/e2earch/_layouts/15/DocIdRedir.aspx?ID=5AIRPNAIUNRU-859666464-4120</Url>
      <Description>5AIRPNAIUNRU-859666464-4120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3</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11</cp:revision>
  <dcterms:created xsi:type="dcterms:W3CDTF">2018-10-31T13:07:00Z</dcterms:created>
  <dcterms:modified xsi:type="dcterms:W3CDTF">2018-11-02T06:05:00Z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bcebcfe7-5a03-4022-a9ec-35b7be064e7f</vt:lpwstr>
  </property>
</Properties>
</file>